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BrauMäAusbV — Dauer der Berufsausbildung</w:t>
      </w:r>
    </w:p>
    <w:p>
      <w:r>
        <w:rPr>
          <w:color w:val="555555"/>
          <w:sz w:val="18"/>
        </w:rPr>
        <w:t xml:space="preserve">Brauer- und Mälzerausbildungsverordnung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BrauMäAusbV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https://recht.nulegal.eu/gesetze/BrauM%C3%A4AusbV/2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