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BrVSchV (Brandenburg) — Objekte der Brandverhütungsschau</w:t>
      </w:r>
    </w:p>
    <w:p>
      <w:r>
        <w:rPr>
          <w:color w:val="555555"/>
          <w:sz w:val="18"/>
        </w:rPr>
        <w:t xml:space="preserve">Brandverhütungsschauverordnung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in der Anlage aufgeführten baulichen Anlagen unterliegen nach den dort genannten zeitlichen Abständen grundsätzlich der Brandverhütungsschau gemäß § 33 Absatz 1 des Brandenburgischen Brand- und Katastrophenschutzgesetzes.</w:t>
      </w:r>
    </w:p>
    <w:p>
      <w:r>
        <w:t xml:space="preserve">(2) Die Brandschutzdienststellen sind verpflichtet, die baulichen Anlagen nach Absatz 1 zu erfassen.</w:t>
      </w:r>
    </w:p>
    <w:p>
      <w:r>
        <w:rPr>
          <w:color w:val="555555"/>
          <w:sz w:val="17"/>
        </w:rPr>
        <w:t xml:space="preserve">Zitiervorschlag: § 7 BrVSchV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https://recht.nulegal.eu/gesetze/BrVSchV/7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BrVSchV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