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BrVSchV (Brandenburg) — Brandverhütungsschau</w:t>
      </w:r>
    </w:p>
    <w:p>
      <w:r>
        <w:rPr>
          <w:color w:val="555555"/>
          <w:sz w:val="18"/>
        </w:rPr>
        <w:t xml:space="preserve">Brandverhütungsschauverordnung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Brandverhütungsschau dient der Feststellung von Gefahrenquellen und Mängeln im Brandschutz.</w:t>
      </w:r>
    </w:p>
    <w:p>
      <w:r>
        <w:t xml:space="preserve">(2) Ziel einer Brandverhütungsschau ist es, brandschutztechnische Mängel festzustellen, um der Entstehung und Ausbreitung von Schadenfeuern vorzubeugen, damit Menschen, Tiere, Sachwerte und unwiederbringliches Kulturgut sowie die Umwelt vor Brand- und Explosionsgefahren geschützt werden.</w:t>
      </w:r>
    </w:p>
    <w:p>
      <w:r>
        <w:rPr>
          <w:color w:val="555555"/>
          <w:sz w:val="17"/>
        </w:rPr>
        <w:t xml:space="preserve">Zitiervorschlag: § 1 BrVSchV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https://recht.nulegal.eu/gesetze/BrVSchV/1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BrVSchV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