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BootsbMstrV — Prüfungsdauer und Bestehen des Teils II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in Teil II ist schriftlich durchzuführen. Sie dauert in jedem Handlungsfeld drei Stunden. Eine Prüfungsdauer von sechs Stunden an einem Tag darf nicht überschritten werden.</w:t>
      </w:r>
    </w:p>
    <w:p>
      <w:r>
        <w:t xml:space="preserve">(2) Für die Gesamtbewertung des Teils II wird das arithmetische Mittel aus den Einzelbewertungen der Handlungsfelder nach § 8 Absatz 2 gebildet.</w:t>
      </w:r>
    </w:p>
    <w:p>
      <w:r>
        <w:t xml:space="preserve">(3) Wurden in höchstens zwei der Handlungsfelder nach § 8 Absatz 2 jeweils mindestens 30 und weniger als 50 Punkte erreicht, so kann in einem dieser Handlungsfelder eine mündliche Ergänzungsprüfung durchgeführt werden, wenn diese das Bestehen des Teils II der Meisterprüfung ermöglicht.</w:t>
      </w:r>
    </w:p>
    <w:p>
      <w:r>
        <w:t xml:space="preserve">(4) Voraussetzung für das Bestehen des Teils II der Meisterprüfung ist eine insgesamt mindestens ausreichende Prüfungsleistung. Die Prüfung des Teils II ist nicht bestanden, wenn</w:t>
      </w:r>
    </w:p>
    <w:p>
      <w:pPr>
        <w:ind w:left="420"/>
      </w:pPr>
      <w:r>
        <w:t xml:space="preserve">1. ein Handlungsfeld mit weniger als 30 Punkten bewertet worden ist oder</w:t>
      </w:r>
    </w:p>
    <w:p>
      <w:pPr>
        <w:ind w:left="420"/>
      </w:pPr>
      <w:r>
        <w:t xml:space="preserve">2. nach durchgeführter Ergänzungsprüfung zwei Handlungsfelder mit jeweils weniger als 50 Punkten bewertet worden sind.</w:t>
      </w:r>
    </w:p>
    <w:p>
      <w:r>
        <w:rPr>
          <w:color w:val="555555"/>
          <w:sz w:val="17"/>
        </w:rPr>
        <w:t xml:space="preserve">Zitiervorschlag: § 9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