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BootsbMstrV — Situationsaufgabe</w:t>
      </w:r>
    </w:p>
    <w:p>
      <w:r>
        <w:rPr>
          <w:color w:val="555555"/>
          <w:sz w:val="18"/>
        </w:rPr>
        <w:t xml:space="preserve">Bootsbauermeisterverordnung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Situationsaufgabe ist auftragsorientiert und vervollständigt den Nachweis der beruflichen Handlungskompetenz für die Meisterprüfung im Bootsbauer-Handwerk. Die Aufgabenstellung wird vom Meisterprüfungsausschuss festgelegt.</w:t>
      </w:r>
    </w:p>
    <w:p>
      <w:r>
        <w:t xml:space="preserve">(2) Als Situationsaufgabe ist eine der unter den Nummern 1 bis 3 aufgeführten Arbeiten auszuführen, wobei die gewählte Arbeit nicht Gegenstand des Meisterprüfungsprojekts gewesen sein darf. Wenn der Prüfling das Meisterprüfungsprojekt nach § 4 Absatz 3 Nummer 1 oder Nummer 2 durchgeführt hat, ist eine Arbeit nach Absatz 2 Nummer 1 oder Nummer 2 auszuführen. Wenn der Prüfling das Meisterprüfungsprojekt nach § 4 Absatz 3 Nummer 3, 4 oder Nummer 5 durchgeführt hat, ist eine Arbeit nach Nummer 3 auszuführen. Als Arbeiten kommen in Betracht:</w:t>
      </w:r>
    </w:p>
    <w:p>
      <w:pPr>
        <w:ind w:left="420"/>
      </w:pPr>
      <w:r>
        <w:t xml:space="preserve">1. einen Teil der Antriebs-, der Vortriebs-, der Steuerungs- oder der Ruderanlage, der technischen Bordeinrichtung oder des bordelektrischen und bordelektronischen Systems planen sowie anhand der Planung dieses Element herstellen und montieren,</w:t>
      </w:r>
    </w:p>
    <w:p>
      <w:pPr>
        <w:ind w:left="420"/>
      </w:pPr>
      <w:r>
        <w:t xml:space="preserve">2. Störungen in der Vernetzung der Antriebs-, der Vortriebs-, der Steuerungs- und der Ruderanlage und der technischen Bordeinrichtung mit dem bordelektrischen und bordelektronischen System feststellen, Ursachen ermitteln und Störungen beseitigen oder</w:t>
      </w:r>
    </w:p>
    <w:p>
      <w:pPr>
        <w:ind w:left="420"/>
      </w:pPr>
      <w:r>
        <w:t xml:space="preserve">3. den Aufriss einer bootsbautypischen Einzelkomponente erstellen und diese Einzelkomponente herstellen.</w:t>
      </w:r>
    </w:p>
    <w:p>
      <w:r>
        <w:rPr>
          <w:color w:val="555555"/>
          <w:sz w:val="17"/>
        </w:rPr>
        <w:t xml:space="preserve">Zitiervorschlag: § 6 BootsbMstrV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https://recht.nulegal.eu/gesetze/BootsbMstrV/6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