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BootsbMstrV — Fachgespräch</w:t>
      </w:r>
    </w:p>
    <w:p>
      <w:r>
        <w:rPr>
          <w:color w:val="555555"/>
          <w:sz w:val="18"/>
        </w:rPr>
        <w:t xml:space="preserve">Bootsbauermeisterverordnung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Fachgespräch hat der Prüfling nachzuweisen, dass er in der Lage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Kunden zu beraten, insbesondere unter Berücksichtigung des individuellen Kundenwunsches; dabei hat er wirtschaftliche Überlegungen sowie rechtliche und technische Anforderungen in das Beratungsgespräch einzubeziehen,</w:t>
      </w:r>
    </w:p>
    <w:p>
      <w:pPr>
        <w:ind w:left="420"/>
      </w:pPr>
      <w:r>
        <w:t xml:space="preserve">3. sein Vorgehen bei der Planung und bei der Durchführung des Meisterprüfungsprojekts zu begründen und</w:t>
      </w:r>
    </w:p>
    <w:p>
      <w:pPr>
        <w:ind w:left="420"/>
      </w:pPr>
      <w:r>
        <w:t xml:space="preserve">4. mit dem Meisterprüfungsprojekt verbundene berufsbezogene Probleme sowie deren Lösungen darzustellen und dabei neue Entwicklungen im Bootsbauer-Handwerk zu berücksichtigen.</w:t>
      </w:r>
    </w:p>
    <w:p>
      <w:r>
        <w:rPr>
          <w:color w:val="555555"/>
          <w:sz w:val="17"/>
        </w:rPr>
        <w:t xml:space="preserve">Zitiervorschlag: § 5 BootsbMstrV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https://recht.nulegal.eu/gesetze/BootsbMstrV/5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