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BootsbMstrV — Gegenstand</w:t>
      </w:r>
    </w:p>
    <w:p>
      <w:r>
        <w:rPr>
          <w:color w:val="555555"/>
          <w:sz w:val="18"/>
        </w:rPr>
        <w:t xml:space="preserve">Bootsbauermeisterverordnung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 das Meisterprüfungsberufsbild sowie die Prüfung in den Teilen I und II der Meisterprüfung im Bootsbauer-Handwerk. Die Meisterprüfung besteht aus vier selbständigen Prüfungsteilen.</w:t>
      </w:r>
    </w:p>
    <w:p>
      <w:r>
        <w:rPr>
          <w:color w:val="555555"/>
          <w:sz w:val="17"/>
        </w:rPr>
        <w:t xml:space="preserve">Zitiervorschlag: § 1 BootsbMstrV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https://recht.nulegal.eu/gesetze/BootsbMstrV/1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