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BootsbAusbV 2011 — Struktur der Berufsausbildung</w:t>
      </w:r>
    </w:p>
    <w:p>
      <w:r>
        <w:rPr>
          <w:color w:val="555555"/>
          <w:sz w:val="18"/>
        </w:rPr>
        <w:t xml:space="preserve">Verordnung über die Berufsausbildung zum Bootsbauer und zur Bootsbauerin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in die Ausbildung in einer der Fachrichtungen</w:t>
      </w:r>
    </w:p>
    <w:p>
      <w:pPr>
        <w:ind w:left="420"/>
      </w:pPr>
      <w:r>
        <w:t xml:space="preserve">1. Neu-, Aus- und Umbau oder</w:t>
      </w:r>
    </w:p>
    <w:p>
      <w:pPr>
        <w:ind w:left="420"/>
      </w:pPr>
      <w:r>
        <w:t xml:space="preserve">2. Technik.</w:t>
      </w:r>
    </w:p>
    <w:p>
      <w:r>
        <w:rPr>
          <w:color w:val="555555"/>
          <w:sz w:val="17"/>
        </w:rPr>
        <w:t xml:space="preserve">Zitiervorschlag: § 3 BootsbAusbV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https://recht.nulegal.eu/gesetze/BootsbAusbV%202011/3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