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BootsbAusbV 2011 — Inkrafttreten, Außerkrafttreten</w:t>
      </w:r>
    </w:p>
    <w:p>
      <w:r>
        <w:rPr>
          <w:color w:val="555555"/>
          <w:sz w:val="18"/>
        </w:rPr>
        <w:t xml:space="preserve">Verordnung über die Berufsausbildung zum Bootsbauer und zur Bootsbauerin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2011 in Kraft. Gleichzeitig tritt die Verordnung über die Berufsausbildung zum Bootsbauer/zur Bootsbauerin vom 26. Juni 2000 (BGBl. I S. 987) außer Kraft.</w:t>
      </w:r>
    </w:p>
    <w:p>
      <w:r>
        <w:rPr>
          <w:color w:val="555555"/>
          <w:sz w:val="17"/>
        </w:rPr>
        <w:t xml:space="preserve">Zitiervorschlag: § 13 BootsbAusbV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https://recht.nulegal.eu/gesetze/BootsbAusbV%202011/13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