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BootsbAusbV 2011 — Staatliche Anerkennung des Ausbildungsberufes</w:t>
      </w:r>
    </w:p>
    <w:p>
      <w:r>
        <w:rPr>
          <w:color w:val="555555"/>
          <w:sz w:val="18"/>
        </w:rPr>
        <w:t xml:space="preserve">Verordnung über die Berufsausbildung zum Bootsbauer und zur Bootsbauerin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Bootsbauers und der Bootsbauerin wird</w:t>
      </w:r>
    </w:p>
    <w:p>
      <w:pPr>
        <w:ind w:left="420"/>
      </w:pPr>
      <w:r>
        <w:t xml:space="preserve">1. nach § 4 Absatz 1 des Berufsbildungsgesetzes und</w:t>
      </w:r>
    </w:p>
    <w:p>
      <w:pPr>
        <w:ind w:left="420"/>
      </w:pPr>
      <w:r>
        <w:t xml:space="preserve">2. nach § 25 der Handwerksordnung zur Ausbildung für das Gewerbe Nummer 28 „Boots- und Schiffbauer“ der Anlage A der Handwerksordnung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BootsbAusbV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https://recht.nulegal.eu/gesetze/BootsbAusbV%202011/1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BootsbAusbV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