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BogMstrV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gemäß Artikel 33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