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BogMstrV — Arbeitsprobe</w:t>
      </w:r>
    </w:p>
    <w:p>
      <w:r>
        <w:rPr>
          <w:color w:val="555555"/>
          <w:sz w:val="18"/>
        </w:rPr>
        <w:t xml:space="preserve">Bogenmachermeisterverordnung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vier der nachstehend genannten Arbeiten auszuführen:</w:t>
      </w:r>
    </w:p>
    <w:p>
      <w:pPr>
        <w:ind w:left="420"/>
      </w:pPr>
      <w:r>
        <w:t xml:space="preserve">1. Hobeln einer Bogenstange,</w:t>
      </w:r>
    </w:p>
    <w:p>
      <w:pPr>
        <w:ind w:left="420"/>
      </w:pPr>
      <w:r>
        <w:t xml:space="preserve">2. Beziehen eines Bogens,</w:t>
      </w:r>
    </w:p>
    <w:p>
      <w:pPr>
        <w:ind w:left="420"/>
      </w:pPr>
      <w:r>
        <w:t xml:space="preserve">3. Ausarbeiten eines ausgesägten und aufgeplatteten Kopfes,</w:t>
      </w:r>
    </w:p>
    <w:p>
      <w:pPr>
        <w:ind w:left="420"/>
      </w:pPr>
      <w:r>
        <w:t xml:space="preserve">4. Aufpassen und Nacharbeiten einer Kopfplatte auf einen fertigen Bogen,</w:t>
      </w:r>
    </w:p>
    <w:p>
      <w:pPr>
        <w:ind w:left="420"/>
      </w:pPr>
      <w:r>
        <w:t xml:space="preserve">5. Ausrichten einer Bogenstange,</w:t>
      </w:r>
    </w:p>
    <w:p>
      <w:pPr>
        <w:ind w:left="420"/>
      </w:pPr>
      <w:r>
        <w:t xml:space="preserve">6. manuelles Anfertigen eines Frosches,</w:t>
      </w:r>
    </w:p>
    <w:p>
      <w:pPr>
        <w:ind w:left="420"/>
      </w:pPr>
      <w:r>
        <w:t xml:space="preserve">7. manuelles Anschäften eines Kopfes mit Schwalbenschwanz,</w:t>
      </w:r>
    </w:p>
    <w:p>
      <w:pPr>
        <w:ind w:left="420"/>
      </w:pPr>
      <w:r>
        <w:t xml:space="preserve">8. Anschäften eines Froschfüßchens und Aufpassen eines Froschringes,</w:t>
      </w:r>
    </w:p>
    <w:p>
      <w:pPr>
        <w:ind w:left="420"/>
      </w:pPr>
      <w:r>
        <w:t xml:space="preserve">9. Anschäften eines Stangenendes und Aufpassen eines Frosches.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BogMstrV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https://recht.nulegal.eu/gesetze/BogMstrV/4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