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BogMstrV — Meisterprüfungsarbeit</w:t>
      </w:r>
    </w:p>
    <w:p>
      <w:r>
        <w:rPr>
          <w:color w:val="555555"/>
          <w:sz w:val="18"/>
        </w:rPr>
        <w:t xml:space="preserve">Bogenmachermeisterverordnung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ist eine der nachstehend genannten Arbeiten anzufertigen:</w:t>
      </w:r>
    </w:p>
    <w:p>
      <w:pPr>
        <w:ind w:left="420"/>
      </w:pPr>
      <w:r>
        <w:t xml:space="preserve">1. ein Geigenbogen,</w:t>
      </w:r>
    </w:p>
    <w:p>
      <w:pPr>
        <w:ind w:left="420"/>
      </w:pPr>
      <w:r>
        <w:t xml:space="preserve">2. ein Bratschenbogen,</w:t>
      </w:r>
    </w:p>
    <w:p>
      <w:pPr>
        <w:ind w:left="420"/>
      </w:pPr>
      <w:r>
        <w:t xml:space="preserve">3. ein Cellobogen,</w:t>
      </w:r>
    </w:p>
    <w:p>
      <w:pPr>
        <w:ind w:left="420"/>
      </w:pPr>
      <w:r>
        <w:t xml:space="preserve">4. ein Baßbogen nach deutschem oder französischem Modell.</w:t>
      </w:r>
    </w:p>
    <w:p>
      <w:r>
        <w:t xml:space="preserve">(2) Der Prüfling hat vor Anfertigung der Meisterprüfungsarbeit dem Meisterprüfungsausschuß das zu verwendende Material und die Vorkalkulation zur Genehmigung vorzulegen.</w:t>
      </w:r>
    </w:p>
    <w:p>
      <w:r>
        <w:t xml:space="preserve">(3) Mit der Meisterprüfungsarbeit sind die Materialliste, die Werkzeichnung mit Maßangaben sowie die Vor- und Nachkalkulation vorzulegen.</w:t>
      </w:r>
    </w:p>
    <w:p>
      <w:r>
        <w:t xml:space="preserve">(4) Die Materialliste, die Werkzeichnung mit Maßangaben sowie die Vor- und Nachkalkulation sind bei der Bewertung der Meisterprüfungsarbeit zu berücksichtigen.</w:t>
      </w:r>
    </w:p>
    <w:p>
      <w:r>
        <w:rPr>
          <w:color w:val="555555"/>
          <w:sz w:val="17"/>
        </w:rPr>
        <w:t xml:space="preserve">Zitiervorschlag: § 3 BogMstrV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https://recht.nulegal.eu/gesetze/BogMstrV/3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