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BodenschEntschV (Bayern)</w:t>
      </w:r>
    </w:p>
    <w:p>
      <w:r>
        <w:rPr>
          <w:color w:val="555555"/>
          <w:sz w:val="18"/>
        </w:rPr>
        <w:t xml:space="preserve">Bodenschätzerentschädigungs-Verordnung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16 Satz 1 des Bodenschätzungsgesetzes vom 16. Oktober 1934 (BGBl III 610-8) in Verbindung mit Art. 1 Abs. 1 des Gesetzes Nr. 122 über den Erlass von Rechtsverordnungen auf Grund vormaligen Reichsrechts (BayRS 103-1-S) und Art. 22 Satz 1 des Kostengesetzes vom 20. Februar 1998 (GVBl S. 43, BayRS 2013-1-1-F), zuletzt geändert durch § 3 des Gesetzes vom 23. November 2001 (GVBl S. 739), erlässt das Bayerische Staatsministerium der Finanzen folgende Verordnung:</w:t>
      </w:r>
    </w:p>
    <w:p>
      <w:r>
        <w:rPr>
          <w:color w:val="555555"/>
          <w:sz w:val="17"/>
        </w:rPr>
        <w:t xml:space="preserve">Zitiervorschlag: Eingangsformel BodenschEntschV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https://recht.nulegal.eu/gesetze/BodenschEntschV/eingangsformel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