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BodenschEntschV (Bayern) — Inkrafttreten</w:t>
      </w:r>
    </w:p>
    <w:p>
      <w:r>
        <w:rPr>
          <w:color w:val="555555"/>
          <w:sz w:val="18"/>
        </w:rPr>
        <w:t xml:space="preserve">Bodenschätzerentschädigungs-Verordnung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2002 in Kraft.</w:t>
      </w:r>
    </w:p>
    <w:p>
      <w:r>
        <w:rPr>
          <w:color w:val="555555"/>
          <w:sz w:val="17"/>
        </w:rPr>
        <w:t xml:space="preserve">Zitiervorschlag: § 3 BodenschEntschV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https://recht.nulegal.eu/gesetze/BodenschEntschV/3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