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BodenschEntschV (Bayern) — Entschädigung, Reisekosten</w:t>
      </w:r>
    </w:p>
    <w:p>
      <w:r>
        <w:rPr>
          <w:color w:val="555555"/>
          <w:sz w:val="18"/>
        </w:rPr>
        <w:t xml:space="preserve">Bodenschätzerentschädigungs-Verordnung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ehrenamtlichen Mitglieder der nach § 18 des Bodenschätzungsgesetzes gebildeten Schätzungsausschüsse erhalten für ihre Tätigkeit</w:t>
      </w:r>
    </w:p>
    <w:p>
      <w:r>
        <w:t xml:space="preserve">1. Entschädigung für Zeitversäumnis nach § 2 dieser Verordnung sowie</w:t>
      </w:r>
    </w:p>
    <w:p>
      <w:r>
        <w:t xml:space="preserve">2. Reisekostenvergütung nach Art. 5 bis 8 des Bayerischen Reisekostengesetzes.</w:t>
      </w:r>
    </w:p>
    <w:p>
      <w:r>
        <w:rPr>
          <w:color w:val="555555"/>
          <w:sz w:val="17"/>
        </w:rPr>
        <w:t xml:space="preserve">Zitiervorschlag: § 1 BodenschEntschV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https://recht.nulegal.eu/gesetze/BodenschEntschV/1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