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BodenlAusbV — Staatliche Anerkennung des Ausbildungsberufes</w:t>
      </w:r>
    </w:p>
    <w:p>
      <w:r>
        <w:rPr>
          <w:color w:val="555555"/>
          <w:sz w:val="18"/>
        </w:rPr>
        <w:t xml:space="preserve">Verordnung über die Berufsausbildung zum Bodenleger/zur Bodenlegerin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Bodenleger/Bodenlegerin wird staatlich anerkannt.</w:t>
      </w:r>
    </w:p>
    <w:p>
      <w:r>
        <w:rPr>
          <w:color w:val="555555"/>
          <w:sz w:val="17"/>
        </w:rPr>
        <w:t xml:space="preserve">Zitiervorschlag: § 1 BodenlAusbV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https://recht.nulegal.eu/gesetze/BodenlAusbV/1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