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BodVerkFKrV — Befreiung von einzelnen Prüfungsbestandteilen</w:t>
      </w:r>
    </w:p>
    <w:p>
      <w:r>
        <w:rPr>
          <w:color w:val="555555"/>
          <w:sz w:val="18"/>
        </w:rPr>
        <w:t xml:space="preserve">Verordnung über den anerkannten Umschulungsabschluss Geprüfte Fachkraft Bodenverkehrsdienst im Luftverkehr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Befreiung von einzelnen Prüfungsbestandteilen ist § 62 Absatz 4 des Berufsbildungsgesetzes entsprechend anzuwenden.</w:t>
      </w:r>
    </w:p>
    <w:p>
      <w:r>
        <w:rPr>
          <w:color w:val="555555"/>
          <w:sz w:val="17"/>
        </w:rPr>
        <w:t xml:space="preserve">Zitiervorschlag: § 7 BodVerkFKrV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https://recht.nulegal.eu/gesetze/BodVerkFKrV/7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