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BodVerkFKrV — Zulassungsvoraussetzungen für die Umschulungsprüfung</w:t>
      </w:r>
    </w:p>
    <w:p>
      <w:r>
        <w:rPr>
          <w:color w:val="555555"/>
          <w:sz w:val="18"/>
        </w:rPr>
        <w:t xml:space="preserve">Verordnung über den anerkannten Umschulungsabschluss Geprüfte Fachkraft Bodenverkehrsdienst im Luftverkehr</w:t>
      </w:r>
    </w:p>
    <w:p>
      <w:r>
        <w:rPr>
          <w:color w:val="555555"/>
          <w:sz w:val="18"/>
        </w:rPr>
        <w:t xml:space="preserve">Stand: 10.06.2019 (konsolidierte Textfassung, kein amtliches Inkrafttretensdatum)</w:t>
      </w:r>
    </w:p>
    <w:p>
      <w:r>
        <w:t xml:space="preserve">Zur Umschulungsprüfung ist zuzulassen, wer</w:t>
      </w:r>
    </w:p>
    <w:p>
      <w:pPr>
        <w:ind w:left="420"/>
      </w:pPr>
      <w:r>
        <w:t xml:space="preserve">1. eine mit Erfolg abgelegte Abschluss- oder Gesellenprüfung in einem anerkannten Ausbildungsberuf oder eine mindestens vierjährige berufliche Tätigkeit nachweist oder durch Vorlage von Zeugnissen oder auf andere Weise glaubhaft macht, Fertigkeiten, Kenntnisse und Fähigkeiten erworben zu haben, die der beruflichen Handlungsfähigkeit vergleichbar sind und die Zulassung zur Umschulungsprüfung rechtfertigen, und</w:t>
      </w:r>
    </w:p>
    <w:p>
      <w:pPr>
        <w:ind w:left="420"/>
      </w:pPr>
      <w:r>
        <w:t xml:space="preserve">2. eine Umschulung nach § 3 nachweist.</w:t>
      </w:r>
    </w:p>
    <w:p>
      <w:r>
        <w:rPr>
          <w:color w:val="555555"/>
          <w:sz w:val="17"/>
        </w:rPr>
        <w:t xml:space="preserve">Zitiervorschlag: § 2 BodVerkFKrV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https://recht.nulegal.eu/gesetze/BodVerkFKrV/2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