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BoSoG — Erlaß des Sonderungsbescheids</w:t>
      </w:r>
    </w:p>
    <w:p>
      <w:r>
        <w:rPr>
          <w:color w:val="555555"/>
          <w:sz w:val="18"/>
        </w:rPr>
        <w:t xml:space="preserve">Bodensonderungsgesetz</w:t>
      </w:r>
    </w:p>
    <w:p>
      <w:r>
        <w:rPr>
          <w:color w:val="555555"/>
          <w:sz w:val="18"/>
        </w:rPr>
        <w:t xml:space="preserve">Stand: 10.06.2019 (konsolidierte Textfassung, kein amtliches Inkrafttretensdatum)</w:t>
      </w:r>
    </w:p>
    <w:p>
      <w:r>
        <w:t xml:space="preserve">(1) Nach Ablauf der in § 8 Abs. 4 und 5 genannten Frist stellt die Sonderungsbehörde den Sonderungsplan durch einen Bescheid verbindlich fest. Der Sonderungsplan ist Bestandteil des Bescheids. Sofern den nach § 8 Abs. 4 und 5 erhobenen Einwänden nicht gefolgt wird, ist dies zu begründen.</w:t>
      </w:r>
    </w:p>
    <w:p>
      <w:r>
        <w:t xml:space="preserve">(2) Der Sonderungsbescheid ist mit einer Rechtsbehelfsbelehrung zu versehen und für die Dauer eines Montas in der Sonderungsbehörde zur Einsicht auszulegen. Die Sonderungsbehörde hat die Auslegung ortsüblich öffentlich bekanntzumachen und den aus dem Grundbuch ersichtlichen Planbetroffenen, wenn sie verstorben sind, ihren dem Grundbuchamt bekannten Erben oder, wenn sie nicht bekannt sind, dem gemäß § 8 Abs. 5 zu bestellenden Vertreter mitzuteilen. Die Bekanntmachung und die Mitteilung müssen den Ausspruch und die Begründung des Bescheids, den Ort und den Zeitraum der Auslegung sowie eine Belehrung darüber enthalten, daß binnen eines Monats nach Ablauf der Auslegungsfrist gegen den Bescheid Widerspruch erhoben werden kann. Der Ausschnitt einer Karte im Maßstab 1 zu 10.000, der erkennen läßt, wo das Sonderungsgebiet liegt, ist beizufügen. Mit Ablauf der Auslegungsfrist gilt der Bescheid gegenüber den Planbetroffenen als zugestellt; darauf ist in der Bekanntmachung und in der Mitteilung hinzuweisen.</w:t>
      </w:r>
    </w:p>
    <w:p>
      <w:r>
        <w:t xml:space="preserve">(3) Auf die öffentliche Auslegung des Bescheids nach Absatz 2 kann verzichtet werden, wenn der Bescheid einschließlich des Sonderungsplans sämtlichen Planbetroffenen zugestellt wird, die nicht auf die Einlegung von Rechtsbehelfen oder Rechtsmitteln verzichtet haben.</w:t>
      </w:r>
    </w:p>
    <w:p>
      <w:r>
        <w:t xml:space="preserve">(4) Der nach anderen Vorschriften vorgeschriebenen Genehmigung für die Teilung von Grundstücken bedarf es bei einer Entscheidung durch Sonderungsbescheid nicht.</w:t>
      </w:r>
    </w:p>
    <w:p>
      <w:r>
        <w:rPr>
          <w:color w:val="555555"/>
          <w:sz w:val="17"/>
        </w:rPr>
        <w:t xml:space="preserve">Zitiervorschlag: § 9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