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BoSoG — Inhalt des Sonderungsbescheids und des Sonderungsplans</w:t>
      </w:r>
    </w:p>
    <w:p>
      <w:r>
        <w:rPr>
          <w:color w:val="555555"/>
          <w:sz w:val="18"/>
        </w:rPr>
        <w:t xml:space="preserve">Bodensonderungsgesetz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Sonderungsbescheid stellt den Sonderungsplan verbindlich fest. Der Sonderungsplan ist Bestandteil des Bescheids. § 3a des Verwaltungsverfahrensgesetzes findet keine Anwendung.</w:t>
      </w:r>
    </w:p>
    <w:p>
      <w:r>
        <w:t xml:space="preserve">(2) Der Sonderungsplan besteht aus einer Grundstückskarte (§ 8 Abs. 2) und einer Grundstücksliste (§ 8 Abs. 3). Er dient vom Zeitpunkt seiner Feststellung bis zur Übernahme in das Liegenschaftskataster als amtliches Verzeichnis der Grundstücke im Sinne von § 2 Abs. 2 der Grundbuchordnung. Er tritt in Ansehung der aufgeführten Grundstücke an die Stelle eines vorhandenen Ersatzes für das amtliche Verzeichnis.</w:t>
      </w:r>
    </w:p>
    <w:p>
      <w:r>
        <w:rPr>
          <w:color w:val="555555"/>
          <w:sz w:val="17"/>
        </w:rPr>
        <w:t xml:space="preserve">Zitiervorschlag: § 7 BoSoG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https://recht.nulegal.eu/gesetze/BoSoG/7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