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BoSoG — Unvermessene Nutzungsrechte</w:t>
      </w:r>
    </w:p>
    <w:p>
      <w:r>
        <w:rPr>
          <w:color w:val="555555"/>
          <w:sz w:val="18"/>
        </w:rPr>
        <w:t xml:space="preserve">Bodensonderungsgesetz</w:t>
      </w:r>
    </w:p>
    <w:p>
      <w:r>
        <w:rPr>
          <w:color w:val="555555"/>
          <w:sz w:val="18"/>
        </w:rPr>
        <w:t xml:space="preserve">Stand: 10.06.2019 (konsolidierte Textfassung, kein amtliches Inkrafttretensdatum)</w:t>
      </w:r>
    </w:p>
    <w:p>
      <w:r>
        <w:t xml:space="preserve">(1) Bei unvermessenen dinglichen Nutzungsrechten bestimmt sich der räumliche Umfang der Befugnis zur Ausübung des Rechtes nach dem Inhalt der Nutzungsrechtsurkunde.</w:t>
      </w:r>
    </w:p>
    <w:p>
      <w:r>
        <w:t xml:space="preserve">(2) Läßt sich der Umfang der Befugnis zur Ausübung des Nutzungsrechts aus dem Inhalt der Nutzungsrechtsurkunde nicht entnehmen, so bestimmt er sich nach dem Ergebnis einer Einigung der betroffenen Inhaber von dinglichen Nutzungsrechten und der betroffenen Grundeigentümer. § 2 Abs. 1 gilt mit der Maßgabe entsprechend, daß neben der Zustimmung der bei dem Grundbuchamt bekannten Inhaber von beschränkten dinglichen Rechten an den betroffenen Grundstücken die Zustimmung der bei dem Grundbuchamt bekannten Inhaber von beschränkten dinglichen Rechten an dem Nutzungsrecht oder einem in Ausübung des Nutzungsrechts entstandenen selbständigen Gebäudeeigentum erforderlich ist.</w:t>
      </w:r>
    </w:p>
    <w:p>
      <w:r>
        <w:t xml:space="preserve">(3) Läßt sich der räumliche Umfang der Befugnis zur Ausübung des Nutzungsrechts aus dem Inhalt der Nutzungsrechtsurkunde nicht entnehmen und ist eine Einigung nicht zu erzielen, so bestimmt sich die Befugnis zur Ausübung des Nutzungsrechts nach Artikel 233 § 4 Abs. 3 Satz 3 des Einführungsgesetzes zum Bürgerlichen Gesetzbuche, soweit nicht eine hierüber hinausgehende Zuweisung oder Verleihung nachgewiesen wird. § 2 Abs. 3 gilt sinngemäß.</w:t>
      </w:r>
    </w:p>
    <w:p>
      <w:r>
        <w:rPr>
          <w:color w:val="555555"/>
          <w:sz w:val="17"/>
        </w:rPr>
        <w:t xml:space="preserve">Zitiervorschlag: § 3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