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BoSoG — Verordnungsermächtigung</w:t>
      </w:r>
    </w:p>
    <w:p>
      <w:r>
        <w:rPr>
          <w:color w:val="555555"/>
          <w:sz w:val="18"/>
        </w:rPr>
        <w:t xml:space="preserve">Bodensonderungsgesetz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Justiz und für Verbraucherschutz wird ermächtigt, durch Rechtsverordnung mit Zustimmung des Bundesrates die grundbuchmäßige Behandlung von Anteilen an ungetrennten Hofräumen zu regeln.</w:t>
      </w:r>
    </w:p>
    <w:p>
      <w:r>
        <w:rPr>
          <w:color w:val="555555"/>
          <w:sz w:val="17"/>
        </w:rPr>
        <w:t xml:space="preserve">Zitiervorschlag: § 23 BoSoG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https://recht.nulegal.eu/gesetze/BoSoG/23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