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BoSoG — Überleitungsbestimmung</w:t>
      </w:r>
    </w:p>
    <w:p>
      <w:r>
        <w:rPr>
          <w:color w:val="555555"/>
          <w:sz w:val="18"/>
        </w:rPr>
        <w:t xml:space="preserve">Bodensonderungsgesetz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zum Erlaß des Sachenrechtsbereinigungsgesetzes behält sich die Sonderungsbehörde eine endgültige Entscheidung über Ansprüche nach § 14 vor. Sie kann den Begünstigten die Zahlung oder Hinterlegung von Abschlägen aufgeben.</w:t>
      </w:r>
    </w:p>
    <w:p>
      <w:r>
        <w:t xml:space="preserve">(2) In einem Sonderungsbescheid nach diesem Gesetz kann auch bestimmt werden, auf welchen Grundstücken sich Gebäudeeigentum nach Artikel 233 § 2b des Einführungsgesetzes zum Bürgerlichen Gesetzbuche befindet.</w:t>
      </w:r>
    </w:p>
    <w:p>
      <w:r>
        <w:rPr>
          <w:color w:val="555555"/>
          <w:sz w:val="17"/>
        </w:rPr>
        <w:t xml:space="preserve">Zitiervorschlag: § 22 BoSoG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https://recht.nulegal.eu/gesetze/BoSoG/22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