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BoSoG — Unterrichtung anderer Stellen, Fortschreibung</w:t>
      </w:r>
    </w:p>
    <w:p>
      <w:r>
        <w:rPr>
          <w:color w:val="555555"/>
          <w:sz w:val="18"/>
        </w:rPr>
        <w:t xml:space="preserve">Bodensonderungsgesetz</w:t>
      </w:r>
    </w:p>
    <w:p>
      <w:r>
        <w:rPr>
          <w:color w:val="555555"/>
          <w:sz w:val="18"/>
        </w:rPr>
        <w:t xml:space="preserve">Stand: 10.06.2019 (konsolidierte Textfassung, kein amtliches Inkrafttretensdatum)</w:t>
      </w:r>
    </w:p>
    <w:p>
      <w:r>
        <w:t xml:space="preserve">(1) Soweit die Sonderungsbehörde nicht für die Führung des Liegenschaftskatasters zuständig ist, übersendet sie dieser Behörde eine beglaubigte Abschrift des Sonderungsbescheides und bis zu dessen Übernahme in das Liegenschaftskataster auch Nachweise über Veränderungen nach Absatz 2.</w:t>
      </w:r>
    </w:p>
    <w:p>
      <w:r>
        <w:t xml:space="preserve">(2) Die in dem Sonderungsplan oder dem Plan nach § 11 bestimmten Grenzen der Grundstücke oder der Ausübungsbefugnisse können nach den allgemeinen Vorschriften verändert werden. Die Veränderungen sind bis zu dessen Übernahme in das amtliche Verzeichnis durch die Sonderungsbehörde in dem Sonderungsplan nachzuweisen; in den Fällen des § 11 gilt dies auch für den die Zuordnung betreffenden Teil. Die Sonderungsbehörde kann die für die Führung des Liegenschaftskatasters zuständige Behörde um Übernahme dieser Aufgabe ersuchen.</w:t>
      </w:r>
    </w:p>
    <w:p>
      <w:r>
        <w:t xml:space="preserve">(3) Eine beglaubigte Abschrift des Sonderungsplans erhält auch das Grundbuchamt. Diesem sind Veränderungen des Sonderungsplans wie Veränderungen im amtlichen Verzeichnis nachzuweisen. Soweit das Grundbuchamt der für die Führung des Liegenschaftskatasters zuständigen Behörde Veränderungen im Grundbuch nachzuweisen hat, erteilt es diese Nachweise bis zur Übernahme des Sonderungsplans in das amtliche Verzeichnis der nach Absatz 2 für die Fortschreibung zuständigen Stelle.</w:t>
      </w:r>
    </w:p>
    <w:p>
      <w:r>
        <w:rPr>
          <w:color w:val="555555"/>
          <w:sz w:val="17"/>
        </w:rPr>
        <w:t xml:space="preserve">Zitiervorschlag: § 20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