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BoSoG — Unvermessenes Eigentum</w:t>
      </w:r>
    </w:p>
    <w:p>
      <w:r>
        <w:rPr>
          <w:color w:val="555555"/>
          <w:sz w:val="18"/>
        </w:rPr>
        <w:t xml:space="preserve">Bodensonderungsgesetz</w:t>
      </w:r>
    </w:p>
    <w:p>
      <w:r>
        <w:rPr>
          <w:color w:val="555555"/>
          <w:sz w:val="18"/>
        </w:rPr>
        <w:t xml:space="preserve">Stand: 10.06.2019 (konsolidierte Textfassung, kein amtliches Inkrafttretensdatum)</w:t>
      </w:r>
    </w:p>
    <w:p>
      <w:r>
        <w:t xml:space="preserve">(1) Die Reichweite unvermessenen Eigentums bestimmt sich nach dem Ergebnis einer Einigung der betroffenen Grundeigentümer. Die Einigung bedarf der Form des § 313 des Bürgerlichen Gesetzbuchs, wenn sie nicht im Zuge des Bodensonderungsverfahrens von der Sonderungsbehörde oder einer von dieser beauftragten Person oder Stelle (§ 8 Abs. 1 Satz 2) protokolliert wird; diese darf nicht zur Umgehung der erforderlichen Teilungsgenehmigung führen. Die Einigung bedarf der Zustimmung der bei dem Grundbuchamt bekannten Inhaber von beschränkten dinglichen Rechten an den betroffenen Grundstücken. Die Zustimmung gilt als erteilt, wenn der Einigung nicht nach Aufforderung der Sonderungsbehörde dieser gegenüber innerhalb einer Frist von vier Wochen widersprochen wird. Der Widerspruch ist unbeachtlich, wenn nicht konkrete Anhaltspunkte für eine von der Einigung abweichende materielle Rechtslage angeführt werden.</w:t>
      </w:r>
    </w:p>
    <w:p>
      <w:r>
        <w:t xml:space="preserve">(2) Kommt eine Einigung nicht zustande, so bestimmt sich das Eigentum nach dem Besitzstand. Für die Ermittlung des Besitzstandes sind vorhandene Gebäudesteuerbücher, Kataster- und Vermessungs- und andere Unterlagen zu berücksichtigen. Die Besitzverhältnisse sind insbesondere durch die Einbeziehung der bekannten Eigentümer und Nutzer sowie der Gläubiger beschränkter dinglicher Rechte an den Grundstücken zu ermitteln. Es wird widerleglich vermutet, daß die Besitzverhältnisse im Zeitpunkt ihrer Ermittlung den Besitzstand darstellen.</w:t>
      </w:r>
    </w:p>
    <w:p>
      <w:r>
        <w:t xml:space="preserve">(3) Kann auch der Besitzstand nicht ermittelt werden oder ist offensichtlich, daß er die Eigentumsverhältnisse nicht darstellen kann, so ist jedem der betroffenen Grundeigentümer ein gleich großes Stück der streitigen Fläche zuzuteilen. Hiervon kann nach billigem Ermessen abgewichen werden, wenn die Zuteilung nach Satz 1 zu einem Ergebnis führt, das mit den feststehenden Umständen nicht in Einklang zu bringen ist.</w:t>
      </w:r>
    </w:p>
    <w:p>
      <w:r>
        <w:rPr>
          <w:color w:val="555555"/>
          <w:sz w:val="17"/>
        </w:rPr>
        <w:t xml:space="preserve">Zitiervorschlag: § 2 BoSoG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https://recht.nulegal.eu/gesetze/BoSoG/2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