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BoSoG — Rechtsmittel</w:t>
      </w:r>
    </w:p>
    <w:p>
      <w:r>
        <w:rPr>
          <w:color w:val="555555"/>
          <w:sz w:val="18"/>
        </w:rPr>
        <w:t xml:space="preserve">Bodensonderungsgesetz</w:t>
      </w:r>
    </w:p>
    <w:p>
      <w:r>
        <w:rPr>
          <w:color w:val="555555"/>
          <w:sz w:val="18"/>
        </w:rPr>
        <w:t xml:space="preserve">Stand: 10.06.2019 (konsolidierte Textfassung, kein amtliches Inkrafttretensdatum)</w:t>
      </w:r>
    </w:p>
    <w:p>
      <w:r>
        <w:t xml:space="preserve">(1) Gegen die Entscheidung des Landgerichts ist das Rechtsmittel der Beschwerde zulässig, wenn die Entscheidung auf einer Verletzung des Rechts beruht und der Wert des Beschwerdegegenstandes 5.000 Euro übersteigt. Die Vorschriften der §§ 546, 547, 559, 561 der Zivilprozeßordnung finden entsprechende Anwendung.</w:t>
      </w:r>
    </w:p>
    <w:p>
      <w:r>
        <w:t xml:space="preserve">(2) Die Beschwerde ist innerhalb einer Frist von einem Monat ab Zustellung der Entscheidung bei dem Oberlandesgericht einzulegen. § 18 Abs. 3 gilt sinngemäß; zuständig für danach zu treffenden Feststellungen ist die Sonderungsbehörde.</w:t>
      </w:r>
    </w:p>
    <w:p>
      <w:r>
        <w:t xml:space="preserve">(3) Über die Beschwerde entscheidet ein Zivilsenat des Oberlandesgerichts. Will das Oberlandesgericht von einer aufgrund dieses Gesetzes ergangenen Entscheidung eines anderen Oberlandesgerichts oder des Bundesgerichtshofs abweichen, so legt es die Sache unter Begründung seiner Rechtsauffassung dem Bundesgerichtshof vor. Dieser entscheidet in diesen Fällen an Stelle des Oberlandesgerichts.</w:t>
      </w:r>
    </w:p>
    <w:p>
      <w:r>
        <w:rPr>
          <w:color w:val="555555"/>
          <w:sz w:val="17"/>
        </w:rPr>
        <w:t xml:space="preserve">Zitiervorschlag: § 19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