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BoSoG — Bereicherungsausgleich</w:t>
      </w:r>
    </w:p>
    <w:p>
      <w:r>
        <w:rPr>
          <w:color w:val="555555"/>
          <w:sz w:val="18"/>
        </w:rPr>
        <w:t xml:space="preserve">Bodensonderungsgesetz</w:t>
      </w:r>
    </w:p>
    <w:p>
      <w:r>
        <w:rPr>
          <w:color w:val="555555"/>
          <w:sz w:val="18"/>
        </w:rPr>
        <w:t xml:space="preserve">Stand: 10.06.2019 (konsolidierte Textfassung, kein amtliches Inkrafttretensdatum)</w:t>
      </w:r>
    </w:p>
    <w:p>
      <w:r>
        <w:t xml:space="preserve">In den Fällen des § 1 Nr. 1 kann, soweit der festgestellte Umfang des Grundstücks oder der Befugnis zur Ausübung des dinglichen Nutzungsrechts nicht auf einer Einigung beruht und nicht im Einklang mit den früheren Eigentums- oder dinglichen Nutzungsrechtsverhältnissen steht, jeder benachteiligte Eigentümer oder Inhaber von dinglichen Nutzungsrechten von dem auf seine Kosten begünstigten Eigentümer oder Inhaber eines dinglichen Nutzungsrechts die Übertragung des diesem zugewiesenen Teils des Grundstückseigentums oder dinglichen Nutzungsrechts oder eine entsprechende Übertragung solcher Rechte nach Maßgabe der Vorschriften über die ungerechtfertigte Bereicherung verlangen. Teilungsgenehmigungen auch nach Landesrecht sind zur Erfüllung dieser Ansprüche nicht erforderlich.</w:t>
      </w:r>
    </w:p>
    <w:p>
      <w:r>
        <w:rPr>
          <w:color w:val="555555"/>
          <w:sz w:val="17"/>
        </w:rPr>
        <w:t xml:space="preserve">Zitiervorschlag: § 14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