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BoSoG — Sonderungsbehörde</w:t>
      </w:r>
    </w:p>
    <w:p>
      <w:r>
        <w:rPr>
          <w:color w:val="555555"/>
          <w:sz w:val="18"/>
        </w:rPr>
        <w:t xml:space="preserve">Bodensonderungsgesetz</w:t>
      </w:r>
    </w:p>
    <w:p>
      <w:r>
        <w:rPr>
          <w:color w:val="555555"/>
          <w:sz w:val="18"/>
        </w:rPr>
        <w:t xml:space="preserve">Stand: 10.06.2019 (konsolidierte Textfassung, kein amtliches Inkrafttretensdatum)</w:t>
      </w:r>
    </w:p>
    <w:p>
      <w:r>
        <w:t xml:space="preserve">Sonderungsbehörde ist in den Fällen des § 1 Nr. 3 und 4 die Gemeinde, im übrigen die für die Führung des Liegenschaftskatasters zuständige Behörde. Die Sonderungsbehörde kann ihre Befugnis zur Durchführung eines Sonderungsverfahrens für das ganze Gemeindegebiet oder Teile desselben für einzelne Verfahren oder auf Dauer auf eine andere geeignete Behörde übertragen. Die Einzelheiten der Übertragung einschließlich der Mitwirkungsrechte der Sonderungsbehörde können in einer Vereinbarung zwischen ihr und der anderen Behörde geregelt werden.</w:t>
      </w:r>
    </w:p>
    <w:p>
      <w:r>
        <w:rPr>
          <w:color w:val="555555"/>
          <w:sz w:val="17"/>
        </w:rPr>
        <w:t xml:space="preserve">Zitiervorschlag: § 10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