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BoFiV (Bayern)</w:t>
      </w:r>
    </w:p>
    <w:p>
      <w:r>
        <w:rPr>
          <w:color w:val="555555"/>
          <w:sz w:val="18"/>
        </w:rPr>
        <w:t xml:space="preserve">Bodenseefischereiverordnung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des Art. 72 Abs. 1 Satz 1 des Fischereigesetzes für Bayern (BayRS 793-1-E), geändert durch Gesetz vom 29. Juli 1986 (GVBl. S. 200), erläßt das Bayerische Staatsministerium für Ernährung, Landwirtschaft und Forsten folgende Verordnung:</w:t>
      </w:r>
    </w:p>
    <w:p>
      <w:r>
        <w:rPr>
          <w:color w:val="555555"/>
          <w:sz w:val="17"/>
        </w:rPr>
        <w:t xml:space="preserve">Zitiervorschlag: Eingangsformel BoFiV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https://recht.nulegal.eu/gesetze/BoFiV/eingangsformel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