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BoFiV (Bayern) — Freitreibende Schwebsätze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das freitreibende Schwebnetz (Anhang II Nrn. 2 und 3) gelten folgende Höchst- und Mindestmaße:</w:t>
      </w:r>
    </w:p>
    <w:p>
      <w:r>
        <w:t xml:space="preserve">1. Maschenweite nach Maßgabe des Abs. 4 Satz 2 mindestens 38 mm,</w:t>
      </w:r>
    </w:p>
    <w:p>
      <w:r>
        <w:t xml:space="preserve">2. Netzlänge höchstens 120 m,</w:t>
      </w:r>
    </w:p>
    <w:p>
      <w:r>
        <w:t xml:space="preserve">3. Netzhöhe höchstens 7 m,</w:t>
      </w:r>
    </w:p>
    <w:p>
      <w:r>
        <w:t xml:space="preserve">4. Fadenstärke mindestens 0,12 mm.</w:t>
      </w:r>
    </w:p>
    <w:p>
      <w:r>
        <w:t xml:space="preserve">(2) Freitreibende Schwebsätze dürfen bis auf den Laichfischfang auf Blaufelchen nicht verwendet werden.</w:t>
      </w:r>
    </w:p>
    <w:p>
      <w:r>
        <w:rPr>
          <w:color w:val="555555"/>
          <w:sz w:val="17"/>
        </w:rPr>
        <w:t xml:space="preserve">Zitiervorschlag: § 7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