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BoFiV (Bayern) — Überprüfung und Kennzeichnung der Fanggeräte</w:t>
      </w:r>
    </w:p>
    <w:p>
      <w:r>
        <w:rPr>
          <w:color w:val="555555"/>
          <w:sz w:val="18"/>
        </w:rPr>
        <w:t xml:space="preserve">Bodenseefischereiverordnung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Netze und Reusen dürfen nur verwendet werden, wenn sie den Vorschriften dieser Verordnung entsprechen und vom Staatlichen Fischereiaufseher (§ 27) nach einem zwischen den Uferstaaten – dem Land Baden-Württemberg, dem Freistaat Bayern, den Kantonen St. Gallen und Thurgau sowie dem Land Vorarlberg – abgesprochenen Verfahren geprüft und gekennzeichnet (plombiert) worden sind. Wer bereits plombierte Netze und Reusen erwirbt, hat diese vor ihrer Verwendung erneut plombieren zu lassen.</w:t>
      </w:r>
    </w:p>
    <w:p>
      <w:r>
        <w:t xml:space="preserve">(2) Nach der Plombierung dürfen die Netze und Reusen keinerlei Behandlung unterzogen werden, durch welche die bei den einzelnen Fanggeräten vorgeschriebenen Höchst- oder Mindestmaße über- oder unterschritten werden. Ergibt eine spätere Nachprüfung, daß ein Netz oder eine Reuse nicht mehr den Vorschriften entspricht, sind die Plomben zu entfernen.</w:t>
      </w:r>
    </w:p>
    <w:p>
      <w:r>
        <w:t xml:space="preserve">(3) Die Netzhöhe ist nach der Tabelle in Anhang I zu berechnen, sofern das Netz dieser Tabelle zugeordnet werden kann.</w:t>
      </w:r>
    </w:p>
    <w:p>
      <w:r>
        <w:t xml:space="preserve">(4) Netze und Netzsätze sowie Legschnüre hat der Patentinhaber an beiden Enden mit gut sichtbaren Bojen oder Bauchen (Schwimmern) zu kennzeichnen. Bojen sind mit dem Vor- und Familiennamen, Bauchen mit den Anfangsbuchstaben des Patentinhabers zu versehen. Die schiffahrtsrechtlichen Vorschriften bleiben unberührt.</w:t>
      </w:r>
    </w:p>
    <w:p>
      <w:r>
        <w:rPr>
          <w:color w:val="555555"/>
          <w:sz w:val="17"/>
        </w:rPr>
        <w:t xml:space="preserve">Zitiervorschlag: § 4 BoFiV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https://recht.nulegal.eu/gesetze/BoFiV/4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