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BoFiV (Bayern) — Zulässige Fanggeräte, Anforderungen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der Halde, dem an das Ufer anschließenden Teil des Bodensees, dessen Wassertiefe 25 m nicht übersteigt ( Anhang II Nr. 1), sind für die Berufsfischerei nur zugelassen</w:t>
      </w:r>
    </w:p>
    <w:p>
      <w:r>
        <w:t xml:space="preserve">1. Spannsätze (§ 9),</w:t>
      </w:r>
    </w:p>
    <w:p>
      <w:r>
        <w:t xml:space="preserve">2. Bodennetze mit Ausnahme der Spiegelnetze (§ 11),</w:t>
      </w:r>
    </w:p>
    <w:p>
      <w:r>
        <w:t xml:space="preserve">3. Trappnetze (§ 12),</w:t>
      </w:r>
    </w:p>
    <w:p>
      <w:r>
        <w:t xml:space="preserve">4. Reusen (§ 13),</w:t>
      </w:r>
    </w:p>
    <w:p>
      <w:r>
        <w:t xml:space="preserve">5. Legschnüre (§ 14),</w:t>
      </w:r>
    </w:p>
    <w:p>
      <w:r>
        <w:t xml:space="preserve">6. (aufgehoben)</w:t>
      </w:r>
    </w:p>
    <w:p>
      <w:r>
        <w:t xml:space="preserve">7. die für die Angelfischerei zugelassenen Geräte (Absatz 3).</w:t>
      </w:r>
    </w:p>
    <w:p>
      <w:r>
        <w:t xml:space="preserve">(2) Auf dem Hohen See, dem außerhalb der Halde gelegenen Teil des Bodensees (Anhang II Nr. 1), sind für die Berufsfischerei nur zugelassen</w:t>
      </w:r>
    </w:p>
    <w:p>
      <w:r>
        <w:t xml:space="preserve">1. freitreibende Schwebsätze (§ 7),</w:t>
      </w:r>
    </w:p>
    <w:p>
      <w:r>
        <w:t xml:space="preserve">2. verankerte Schwebsätze (§ 8),</w:t>
      </w:r>
    </w:p>
    <w:p>
      <w:r>
        <w:t xml:space="preserve">3. Spannsätze (§ 9),</w:t>
      </w:r>
    </w:p>
    <w:p>
      <w:r>
        <w:t xml:space="preserve">4. Großfischsätze (§ 10),</w:t>
      </w:r>
    </w:p>
    <w:p>
      <w:r>
        <w:t xml:space="preserve">5. Bodennetze (§ 11),</w:t>
      </w:r>
    </w:p>
    <w:p>
      <w:r>
        <w:t xml:space="preserve">6. Reusen (§ 13),</w:t>
      </w:r>
    </w:p>
    <w:p>
      <w:r>
        <w:t xml:space="preserve">7. Legschnüre (§ 14),</w:t>
      </w:r>
    </w:p>
    <w:p>
      <w:r>
        <w:t xml:space="preserve">8. die für die Angelfischerei zugelassenen Geräte (Absatz 3).</w:t>
      </w:r>
    </w:p>
    <w:p>
      <w:r>
        <w:t xml:space="preserve">(3) Auf dem Bodensee sind für die Angelfischerei nur zugelassen</w:t>
      </w:r>
    </w:p>
    <w:p>
      <w:r>
        <w:t xml:space="preserve">1. Angelgeräte (§ 15),</w:t>
      </w:r>
    </w:p>
    <w:p>
      <w:r>
        <w:t xml:space="preserve">2. Hamen (Senknetz – § 16),</w:t>
      </w:r>
    </w:p>
    <w:p>
      <w:r>
        <w:t xml:space="preserve">3. Köderflasche (§ 17),</w:t>
      </w:r>
    </w:p>
    <w:p>
      <w:r>
        <w:t xml:space="preserve">4. Kescher (Feumer, Schöpfbehren – § 18).</w:t>
      </w:r>
    </w:p>
    <w:p>
      <w:r>
        <w:t xml:space="preserve">(4) Schwimmfähige Oberähren sind bei Kiemennetzen mit Ausnahme von Spannsätzen und Bodennetzen nicht zugelassen.</w:t>
      </w:r>
    </w:p>
    <w:p>
      <w:r>
        <w:t xml:space="preserve">(5) Der Einsatz künstlicher Lichtquellen, die dem Anlocken von Fischen dienen, ist verboten.</w:t>
      </w:r>
    </w:p>
    <w:p>
      <w:r>
        <w:t xml:space="preserve">(6) Ein vorgeschriebener Maschenweitenbereich ist eingehalten, wenn das Mindestmaß nicht unterschritten und das Höchstmaß allenfalls um weniger als einen Millimeter überschritten ist.</w:t>
      </w:r>
    </w:p>
    <w:p>
      <w:r>
        <w:rPr>
          <w:color w:val="555555"/>
          <w:sz w:val="17"/>
        </w:rPr>
        <w:t xml:space="preserve">Zitiervorschlag: § 3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