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BoFiV (Bayern) — Ordnungswidrigkeiten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66 Abs. 1 Nr. 4 des Bayerischen Fischereigesetzes kann mit Geldbuße belegt werden, wer vorsätzlich oder fahrlässig</w:t>
      </w:r>
    </w:p>
    <w:p>
      <w:r>
        <w:t xml:space="preserve">1. entgegen § 3 Abs. 1 bis 4 nicht zugelassene oder den Anforderungen nicht entsprechende Fanggeräte verwendet oder entgegen § 3 Abs. 5 künstliche Lichtquellen einsetzt,</w:t>
      </w:r>
    </w:p>
    <w:p>
      <w:r>
        <w:t xml:space="preserve">2. entgegen</w:t>
      </w:r>
    </w:p>
    <w:p>
      <w:r>
        <w:t xml:space="preserve">a) § 4 Abs. 1, auch in Verbindung mit Abs. 2 Satz 2, Netze und Reusen verwendet, die nicht oder nicht ordnungsgemäß plombiert worden sind,</w:t>
      </w:r>
    </w:p>
    <w:p>
      <w:r>
        <w:t xml:space="preserve">b) § 4 Abs. 2 Satz 1 Netze und Reusen nach der Plombierung einer Behandlung unterzieht, die geeignet ist, die Maschenweite zu verändern,</w:t>
      </w:r>
    </w:p>
    <w:p>
      <w:r>
        <w:t xml:space="preserve">c) § 4 Abs. 4 Netze oder Legschnüre verwendet, die nicht oder nicht ordnungsgemäß gekennzeichnet sind,</w:t>
      </w:r>
    </w:p>
    <w:p>
      <w:r>
        <w:t xml:space="preserve">d) § 5 Abs. 3 Fanggeräte nicht rechtzeitig kontrolliert und gegebenenfalls leert,</w:t>
      </w:r>
    </w:p>
    <w:p>
      <w:r>
        <w:t xml:space="preserve">3. entgegen § 5 Abs. 1 in, auf oder an dem Bodensee Fanggeräte gebrauchsfertig mitführt,</w:t>
      </w:r>
    </w:p>
    <w:p>
      <w:r>
        <w:t xml:space="preserve">4. Fanggeräte verwendet, die nach ihrer Beschaffenheit, Anzahl oder Verwendungsart den Anforderungen der §§ 7 bis 18 nicht entsprechen oder Fanggeräte entgegen diesen Vorschriften oder entgegen § 5 Abs. 2 Satz 1 außerhalb der festgesetzten Zeiten verwendet, setzt, hebt oder entleert,</w:t>
      </w:r>
    </w:p>
    <w:p>
      <w:r>
        <w:t xml:space="preserve">5. entgegen § 19 in dem dort bezeichneten Teil des Bodensees mit Legschnüren, Netzen oder Reusen fischt,</w:t>
      </w:r>
    </w:p>
    <w:p>
      <w:r>
        <w:t xml:space="preserve">6. entgegen</w:t>
      </w:r>
    </w:p>
    <w:p>
      <w:r>
        <w:t xml:space="preserve">a) § 20 Abs. 1, Abs. 2 Satz 1 und Abs. 6 während der Schonzeit den Fischfang auf eine geschonte Fischart ausübt,</w:t>
      </w:r>
    </w:p>
    <w:p>
      <w:r>
        <w:t xml:space="preserve">b) § 20 Abs. 3 bei der Ausübung des Fischfangs keine geeigneten Hilfsmittel mit sich führt,</w:t>
      </w:r>
    </w:p>
    <w:p>
      <w:r>
        <w:t xml:space="preserve">c) § 20 Abs. 4 mehr als 30 Barsche und fünf Seesaiblinge fängt oder gefangene Barsche und Seesaiblinge nicht anlandet,</w:t>
      </w:r>
    </w:p>
    <w:p>
      <w:r>
        <w:t xml:space="preserve">d) § 20 Abs. 5 gefangene Kaulbarsche nicht anlandet oder</w:t>
      </w:r>
    </w:p>
    <w:p>
      <w:r>
        <w:t xml:space="preserve">e) § 20 Abs. 7 gefangene Fische nicht, nicht rechtzeitig oder nicht dauerhaft und unauslöschlich im Fangbuch einträgt,</w:t>
      </w:r>
    </w:p>
    <w:p>
      <w:r>
        <w:t xml:space="preserve">7. entgegen § 21 als Köderfische nicht zugelassene Fische verwendet,</w:t>
      </w:r>
    </w:p>
    <w:p>
      <w:r>
        <w:t xml:space="preserve">8. einer vollziehbaren Anordnung nach</w:t>
      </w:r>
    </w:p>
    <w:p>
      <w:r>
        <w:t xml:space="preserve">a) § 22 Abs. 1 Satz 1 oder Abs. 2 zur Begrenzung von Massenfängen oder</w:t>
      </w:r>
    </w:p>
    <w:p>
      <w:r>
        <w:t xml:space="preserve">b) § 22 Abs. 3 Satz 2 oder Abs. 4 Satz 2 zur Verhütung oder Unterbindung von Beifängen</w:t>
      </w:r>
    </w:p>
    <w:p>
      <w:r>
        <w:t xml:space="preserve">zuwiderhandelt,</w:t>
      </w:r>
    </w:p>
    <w:p>
      <w:r>
        <w:t xml:space="preserve">9. einer Vorschrift oder einer vollziehbaren Anordnung nach</w:t>
      </w:r>
    </w:p>
    <w:p>
      <w:r>
        <w:t xml:space="preserve">a) § 24 über den Laichfischfang auf Blaufelchen,</w:t>
      </w:r>
    </w:p>
    <w:p>
      <w:r>
        <w:t xml:space="preserve">b) § 25 über den Laichfischfang auf Gangfische oder</w:t>
      </w:r>
    </w:p>
    <w:p>
      <w:r>
        <w:t xml:space="preserve">c) § 26 über den Laichfischfang auf Seeforellen</w:t>
      </w:r>
    </w:p>
    <w:p>
      <w:r>
        <w:t xml:space="preserve">zuwiderhandelt,</w:t>
      </w:r>
    </w:p>
    <w:p>
      <w:r>
        <w:t xml:space="preserve">10. einer vollziehbaren Anordnung nach § 28 Abs. 2 zuwiderhandelt.</w:t>
      </w:r>
    </w:p>
    <w:p>
      <w:r>
        <w:rPr>
          <w:color w:val="555555"/>
          <w:sz w:val="17"/>
        </w:rPr>
        <w:t xml:space="preserve">Zitiervorschlag: § 29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