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BoFiV (Bayern) — Allgemeines</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zur Ausübung des Laichfischfangs (§ 20 Abs. 6) ist widerruflich und mit der Auflage zu erteilen, das gewonnene Fortpflanzungsmaterial an eine vom Landratsamt Lindau (Bodensee) bestimmte Fischbrutanstalt zu übergeben.</w:t>
      </w:r>
    </w:p>
    <w:p>
      <w:r>
        <w:t xml:space="preserve">(2) Zur Gewährleistung eines ordnungsgemäßen Laichfischfangs kann das Landratsamt Lindau (Bodensee) Abweichungen von den Vorschriften der §§ 24 bis 26 anordnen.</w:t>
      </w:r>
    </w:p>
    <w:p>
      <w:r>
        <w:rPr>
          <w:color w:val="555555"/>
          <w:sz w:val="17"/>
        </w:rPr>
        <w:t xml:space="preserve">Zitiervorschlag: § 23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