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BoFiV (Bayern) — Köderflasche</w:t>
      </w:r>
    </w:p>
    <w:p>
      <w:r>
        <w:rPr>
          <w:color w:val="555555"/>
          <w:sz w:val="18"/>
        </w:rPr>
        <w:t xml:space="preserve">Bodenseefischereiverordnung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Zum Köderfischfang für den eigenen Bedarf dürfen Köderflaschen verwendet werden, die mit dem Namen des Fischers versehen sein müssen.</w:t>
      </w:r>
    </w:p>
    <w:p>
      <w:r>
        <w:t xml:space="preserve">(2) Der Rauminhalt der Köderflasche darf 10 Liter nicht übersteigen.</w:t>
      </w:r>
    </w:p>
    <w:p>
      <w:r>
        <w:rPr>
          <w:color w:val="555555"/>
          <w:sz w:val="17"/>
        </w:rPr>
        <w:t xml:space="preserve">Zitiervorschlag: § 17 BoFiV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https://recht.nulegal.eu/gesetze/BoFiV/17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