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BoFiV (Bayern) — Reusen</w:t>
      </w:r>
    </w:p>
    <w:p>
      <w:r>
        <w:rPr>
          <w:color w:val="555555"/>
          <w:sz w:val="18"/>
        </w:rPr>
        <w:t xml:space="preserve">Bodenseefischereiverordnung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Reusen (Anhang II Nrn. 7 und 8) dürfen nur verwendet werden, wenn ihre Höhe oder ihr Durchmesser beim ersten Reusenbügel 60 cm nicht übersteigt. Je Reuse beträgt die Höchstlänge des Leitgarns 6 m und die Höchstlänge vorhandener Seitenflügel 3 m. Drahtreusen sind nicht zugelassen.</w:t>
      </w:r>
    </w:p>
    <w:p>
      <w:r>
        <w:t xml:space="preserve">(2) Reusen dürfen während des ganzen Jahres in beliebiger Zahl verwendet werden. Vom 1. Mai bis 15. September sind sie täglich, in der übrigen Zeit mindestens jeden zweiten Tag zu leeren.</w:t>
      </w:r>
    </w:p>
    <w:p>
      <w:r>
        <w:rPr>
          <w:color w:val="555555"/>
          <w:sz w:val="17"/>
        </w:rPr>
        <w:t xml:space="preserve">Zitiervorschlag: § 13 BoFiV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https://recht.nulegal.eu/gesetze/BoFiV/13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