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BoFiV (Bayern) — Trappnetze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Trappnetze (Anhang II Nr. 6) dürfen nur verwendet werden, wenn ihre Höhe 2 m nicht übersteigt. Sie dürfen während des ganzen Jahres verwendet werden und sind mindestens jeden zweiten Tag zu leeren. Monofiles Netzmaterial ist nicht zugelassen.</w:t>
      </w:r>
    </w:p>
    <w:p>
      <w:r>
        <w:t xml:space="preserve">(2) Trappnetze dürfen nur dort verwendet werden, wo die Wassertiefe nicht größer als 3 m ist.</w:t>
      </w:r>
    </w:p>
    <w:p>
      <w:r>
        <w:t xml:space="preserve">(3) Ein Patentinhaber darf gleichzeitig bis zu zwei Trappnetze verwenden. Dessen Maschenweite muß beim Leitgarn, bei den Flügeln und im Herzstück mindestens 32 mm betragen; der Kasten muß einen rechteckigen, über die ganze Länge gleichbleibenden Querschnitt mit einer Kantenlänge von mindestens 1 m aufweisen.</w:t>
      </w:r>
    </w:p>
    <w:p>
      <w:r>
        <w:rPr>
          <w:color w:val="555555"/>
          <w:sz w:val="17"/>
        </w:rPr>
        <w:t xml:space="preserve">Zitiervorschlag: § 12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