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BoFiV (Bayern) — Anwendungsbereich</w:t>
      </w:r>
    </w:p>
    <w:p>
      <w:r>
        <w:rPr>
          <w:color w:val="555555"/>
          <w:sz w:val="18"/>
        </w:rPr>
        <w:t xml:space="preserve">Bodenseefischereiverordnung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 Verordnung regelt die Ausübung der Fischerei im Bodensee (Obersee einschließlich des Überlinger Sees).</w:t>
      </w:r>
    </w:p>
    <w:p>
      <w:r>
        <w:t xml:space="preserve">(2) Die Vorschriften der Verordnung zur Ausführung des Bayerischen Fischereigesetzes finden Anwendung, soweit diese Verordnung nichts anderes bestimmt.</w:t>
      </w:r>
    </w:p>
    <w:p>
      <w:r>
        <w:rPr>
          <w:color w:val="555555"/>
          <w:sz w:val="17"/>
        </w:rPr>
        <w:t xml:space="preserve">Zitiervorschlag: § 1 BoFiV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https://recht.nulegal.eu/gesetze/BoFiV/1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