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BmAusV — Prüfungsbereich Durchführen von Teilarbeiten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Durchführen von Teilarbeiten soll der Prüfling nachweisen, dass er in der Lage ist,</w:t>
      </w:r>
    </w:p>
    <w:p>
      <w:pPr>
        <w:ind w:left="420"/>
      </w:pPr>
      <w:r>
        <w:t xml:space="preserve">1. Arbeitsschritte zu planen,</w:t>
      </w:r>
    </w:p>
    <w:p>
      <w:pPr>
        <w:ind w:left="420"/>
      </w:pPr>
      <w:r>
        <w:t xml:space="preserve">2. Werkzeuge auszuwählen und zu handhaben,</w:t>
      </w:r>
    </w:p>
    <w:p>
      <w:pPr>
        <w:ind w:left="420"/>
      </w:pPr>
      <w:r>
        <w:t xml:space="preserve">3. Werk- und Hilfsstoffe auszuwählen sowie zu bearbeiten und zu verarbeiten,</w:t>
      </w:r>
    </w:p>
    <w:p>
      <w:pPr>
        <w:ind w:left="420"/>
      </w:pPr>
      <w:r>
        <w:t xml:space="preserve">4. Verbindungstechniken auszuwählen und Verbindungen herzustellen,</w:t>
      </w:r>
    </w:p>
    <w:p>
      <w:pPr>
        <w:ind w:left="420"/>
      </w:pPr>
      <w:r>
        <w:t xml:space="preserve">5. Teilarbeiten zur Herstellung eines spielfertigen Bogens durchzuführen,</w:t>
      </w:r>
    </w:p>
    <w:p>
      <w:pPr>
        <w:ind w:left="420"/>
      </w:pPr>
      <w:r>
        <w:t xml:space="preserve">6. Maßnahmen zur Arbeitsorganisation, zur Sicherheit und zum Gesundheitsschutz bei der Arbeit, zum Umweltschutz, zur Kundenorientierung, zur Wirtschaftlichkeit und zur Qualitätssicherung zu berücksichtigen und</w:t>
      </w:r>
    </w:p>
    <w:p>
      <w:pPr>
        <w:ind w:left="420"/>
      </w:pPr>
      <w:r>
        <w:t xml:space="preserve">7. fachliche Hintergründe aufzuzeigen sowie die Vorgehensweise beim Durchführen von Teilarbeiten zu begründen.</w:t>
      </w:r>
    </w:p>
    <w:p>
      <w:r>
        <w:t xml:space="preserve">(2) Für den Nachweis nach Absatz 1 sind aus den folgenden Tätigkeiten drei Tätigkeiten auszuwählen:</w:t>
      </w:r>
    </w:p>
    <w:p>
      <w:pPr>
        <w:ind w:left="420"/>
      </w:pPr>
      <w:r>
        <w:t xml:space="preserve">1. Fertigstellen einer Bogenstange,</w:t>
      </w:r>
    </w:p>
    <w:p>
      <w:pPr>
        <w:ind w:left="420"/>
      </w:pPr>
      <w:r>
        <w:t xml:space="preserve">2. Herstellen einer Verbindung zwischen Bogenfrosch und Bogenstange,</w:t>
      </w:r>
    </w:p>
    <w:p>
      <w:pPr>
        <w:ind w:left="420"/>
      </w:pPr>
      <w:r>
        <w:t xml:space="preserve">3. Ausarbeiten eines Bogenfrosches und</w:t>
      </w:r>
    </w:p>
    <w:p>
      <w:pPr>
        <w:ind w:left="420"/>
      </w:pPr>
      <w:r>
        <w:t xml:space="preserve">4. Behaaren eines Bogens.</w:t>
      </w:r>
    </w:p>
    <w:p>
      <w:r>
        <w:t xml:space="preserve">Anstelle einer dieser Tätigkeiten kann eine andere Tätigkeit ausgewählt werden, wenn sie in gleicher Breite und Tiefe den in Absatz 1 genannten Anforderungen entspricht.</w:t>
      </w:r>
    </w:p>
    <w:p>
      <w:r>
        <w:t xml:space="preserve">(3) Der Prüfling soll drei Arbeitsproben durchführen. Mit dem Prüfling wird über die drei durchgeführten Arbeitsaufgaben je ein auftragsbezogenes Fachgespräch geführt.</w:t>
      </w:r>
    </w:p>
    <w:p>
      <w:r>
        <w:t xml:space="preserve">(4) Die Prüfungszeit beträgt insgesamt sieben Stunden. Die auftragsbezogenen Fachgespräche dauern zusammen höchstens 15 Minuten.</w:t>
      </w:r>
    </w:p>
    <w:p>
      <w:r>
        <w:rPr>
          <w:color w:val="555555"/>
          <w:sz w:val="17"/>
        </w:rPr>
        <w:t xml:space="preserve">Zitiervorschlag: § 14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