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11 BmAusV — Inhalt</w:t>
      </w:r>
    </w:p>
    <w:p>
      <w:r>
        <w:rPr>
          <w:color w:val="555555"/>
          <w:sz w:val="18"/>
        </w:rPr>
        <w:t xml:space="preserve">Bogenmacherausbildungsverordnung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 Gesellenprüfung erstreckt sich auf</w:t>
      </w:r>
    </w:p>
    <w:p>
      <w:pPr>
        <w:ind w:left="420"/>
      </w:pPr>
      <w:r>
        <w:t xml:space="preserve">1. die im Ausbildungsrahmenplan genannten Fertigkeiten, Kenntnisse und Fähigkeiten sowie</w:t>
      </w:r>
    </w:p>
    <w:p>
      <w:pPr>
        <w:ind w:left="420"/>
      </w:pPr>
      <w:r>
        <w:t xml:space="preserve">2. den im Berufsschulunterricht zu vermittelnden Lehrstoff, soweit er den im Ausbildungsrahmenplan aufgeführten Fertigkeiten, Kenntnissen und Fähigkeiten entspricht.</w:t>
      </w:r>
    </w:p>
    <w:p>
      <w:r>
        <w:rPr>
          <w:color w:val="555555"/>
          <w:sz w:val="17"/>
        </w:rPr>
        <w:t xml:space="preserve">Zitiervorschlag: § 11 BmAusV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https://recht.nulegal.eu/gesetze/BmAusV/11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