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BlutZV</w:t>
      </w:r>
    </w:p>
    <w:p>
      <w:r>
        <w:rPr>
          <w:color w:val="555555"/>
          <w:sz w:val="18"/>
        </w:rPr>
        <w:t xml:space="preserve">Verordnung zur Ausdehnung der Vorschriften über die staatliche Chargenprüfung auf Blutzubereitungen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Blutzubereitungen nach dieser Verordnung, die nicht Blutgerinnungsfaktor IX oder Prothrombinkomplex-Präparate sind, findet die Verordnung ab dem 1. Januar 1996 Anwendung. Auf Chargen dieser Blutzubereitungen, die sich am 1. Januar 1996 bereits im Verkehr befinden, findet die Verordnung keine Anwendung.</w:t>
      </w:r>
    </w:p>
    <w:p>
      <w:r>
        <w:t xml:space="preserve">(2) Die Verordnung findet keine Anwendung auf solche Chargen, die sich zum Zeitpunkt des Inkrafttretens dieser Verordnung bereits im Verkehr befinden.</w:t>
      </w:r>
    </w:p>
    <w:p>
      <w:r>
        <w:rPr>
          <w:color w:val="555555"/>
          <w:sz w:val="17"/>
        </w:rPr>
        <w:t xml:space="preserve">Zitiervorschlag: § 4 BlutZV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https://recht.nulegal.eu/gesetze/BlutZV/4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