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BlutZV</w:t>
      </w:r>
    </w:p>
    <w:p>
      <w:r>
        <w:rPr>
          <w:color w:val="555555"/>
          <w:sz w:val="18"/>
        </w:rPr>
        <w:t xml:space="preserve">Verordnung zur Ausdehnung der Vorschriften über die staatliche Chargenprüfung auf Blutzubereitungen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 Bundesoberbehörde hat eine Entscheidung über die Freigabe der Charge innerhalb einer Frist von zwei Monaten nach Eingang der zu prüfenden Chargenprobe zu treffen. § 27 Abs. 2 des Arzneimittelgesetzes findet entsprechende Anwendung.</w:t>
      </w:r>
    </w:p>
    <w:p>
      <w:r>
        <w:rPr>
          <w:color w:val="555555"/>
          <w:sz w:val="17"/>
        </w:rPr>
        <w:t xml:space="preserve">Zitiervorschlag: § 2 BlutZV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https://recht.nulegal.eu/gesetze/BlutZV/2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