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BlutArmV 2010 — Blutprobenentnahme, epidemiologische Nachforschungen</w:t>
      </w:r>
    </w:p>
    <w:p>
      <w:r>
        <w:rPr>
          <w:color w:val="555555"/>
          <w:sz w:val="18"/>
        </w:rPr>
        <w:t xml:space="preserve">Einhufer-Blutarmut-Verordnung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Verdachts des Ausbruchs der Einhufer-Blutarmut führt die zuständige Behörde unverzüglich eine klinische und serologische Untersuchung des seuchenverdächtigen Einhufers auf die Einhufer-Blutarmut durch. Im Falle verendeter oder getöteter Einhufer ordnet sie die virologische oder serologische Untersuchung auf die Einhufer-Blutarmut an.</w:t>
      </w:r>
    </w:p>
    <w:p>
      <w:r>
        <w:t xml:space="preserve">(2) Ergeben sich auf Grund einer Untersuchung nach Absatz 1 Satz 1 oder 2 Anhaltspunkte für einen Ausbruch der Einhufer-Blutarmut, so führt die zuständige Behörde epidemiologische Nachforschungen durch. Die epidemiologischen Nachforschungen erstrecken sich mindestens auf</w:t>
      </w:r>
    </w:p>
    <w:p>
      <w:pPr>
        <w:ind w:left="420"/>
      </w:pPr>
      <w:r>
        <w:t xml:space="preserve">1. den Zeitraum, in dem das Virus der Einhufer-Blutarmut bereits im Betrieb gewesen sein kann, bevor der Verdacht angezeigt worden ist,</w:t>
      </w:r>
    </w:p>
    <w:p>
      <w:pPr>
        <w:ind w:left="420"/>
      </w:pPr>
      <w:r>
        <w:t xml:space="preserve">2. die Ermittlung anderer Betriebe, aus denen Einhufer in den betroffenen Betrieb oder in die Einhufer aus dem betroffenen Betrieb verbracht worden sein können, und</w:t>
      </w:r>
    </w:p>
    <w:p>
      <w:pPr>
        <w:ind w:left="420"/>
      </w:pPr>
      <w:r>
        <w:t xml:space="preserve">3. die Ermittlung aller Kontakte der Einhufer des betroffenen Betriebes zu anderen Einhufern.</w:t>
      </w:r>
    </w:p>
    <w:p>
      <w:r>
        <w:rPr>
          <w:color w:val="555555"/>
          <w:sz w:val="17"/>
        </w:rPr>
        <w:t xml:space="preserve">Zitiervorschlag: § 4 BlutArmV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https://recht.nulegal.eu/gesetze/BlutArmV%202010/4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BlutArmV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