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BlutArmV 2010 — Veranstaltungen mit Einhufern</w:t>
      </w:r>
    </w:p>
    <w:p>
      <w:r>
        <w:rPr>
          <w:color w:val="555555"/>
          <w:sz w:val="18"/>
        </w:rPr>
        <w:t xml:space="preserve">Einhufer-Blutarmut-Verordnung</w:t>
      </w:r>
    </w:p>
    <w:p>
      <w:r>
        <w:rPr>
          <w:color w:val="555555"/>
          <w:sz w:val="18"/>
        </w:rPr>
        <w:t xml:space="preserve">Stand: 21.04.2020 (konsolidierte Textfassung, kein amtliches Inkrafttretensdatum)</w:t>
      </w:r>
    </w:p>
    <w:p>
      <w:r>
        <w:t xml:space="preserve">(1) Wer eine überregionale Veranstaltung durchführt, bei der Einhufer verschiedener Bestände zusammenkommen, hat ein Register der zu der Veranstaltung verbrachten Einhufer zu führen. Das Register muss von jedem dieser Einhufer folgende Angaben enthalten:</w:t>
      </w:r>
    </w:p>
    <w:p>
      <w:pPr>
        <w:ind w:left="420"/>
      </w:pPr>
      <w:r>
        <w:t xml:space="preserve">1. den Namen des Einhufers,</w:t>
      </w:r>
    </w:p>
    <w:p>
      <w:pPr>
        <w:ind w:left="420"/>
      </w:pPr>
      <w:r>
        <w:t xml:space="preserve">2. die Ziffern des Codes im Sinne des Artikels 2 Buchstabe n der Durchführungsverordnung (EU) 2015/262 der Kommission vom 17. Februar 2015 zur Festlegung von Vorschriften gemäß den Richtlinien 90/427/EWG und 2009/156/EG des Rates in Bezug auf die Methoden zur Identifizierung von Equiden (Equidenpass-Verordnung) (ABl. L 59 vom 3.3.2015, S. 1),</w:t>
      </w:r>
    </w:p>
    <w:p>
      <w:pPr>
        <w:ind w:left="420"/>
      </w:pPr>
      <w:r>
        <w:t xml:space="preserve">3. den Namen und die Anschrift des Halters,</w:t>
      </w:r>
    </w:p>
    <w:p>
      <w:pPr>
        <w:ind w:left="420"/>
      </w:pPr>
      <w:r>
        <w:t xml:space="preserve">4. den Standort der Haltung oder des Betriebes nach § 26 Absatz 1 Satz 1 der Viehverkehrsverordnung.</w:t>
      </w:r>
    </w:p>
    <w:p>
      <w:r>
        <w:t xml:space="preserve">§ 44b der Viehverkehrsverordnung bleibt unberührt. Der Veranstalter hat der zuständigen Behörde auf deren Verlangen das Register nach Satz 1 vorzulegen.</w:t>
      </w:r>
    </w:p>
    <w:p>
      <w:r>
        <w:t xml:space="preserve">(2) Für die Führung des Registers nach Absatz 1 Satz 1 gilt § 25 Absatz 1 Satz 1 und 2 und Absatz 2 der Viehverkehrsverordnung entsprechend. Für die Aufbewahrung des Registers nach Absatz 1 Satz 1 gilt § 25 Absatz 3 Satz 1 und 2 der Viehverkehrsverordnung entsprechend.</w:t>
      </w:r>
    </w:p>
    <w:p>
      <w:r>
        <w:rPr>
          <w:color w:val="555555"/>
          <w:sz w:val="17"/>
        </w:rPr>
        <w:t xml:space="preserve">Zitiervorschlag: § 3a BlutArmV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https://recht.nulegal.eu/gesetze/BlutArmV%202010/3a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