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BlutArmV 2010 — Ordnungswidrigkeiten</w:t>
      </w:r>
    </w:p>
    <w:p>
      <w:r>
        <w:rPr>
          <w:color w:val="555555"/>
          <w:sz w:val="18"/>
        </w:rPr>
        <w:t xml:space="preserve">Einhufer-Blutarmut-Verordnung</w:t>
      </w:r>
    </w:p>
    <w:p>
      <w:r>
        <w:rPr>
          <w:color w:val="555555"/>
          <w:sz w:val="18"/>
        </w:rPr>
        <w:t xml:space="preserve">Stand: 21.04.2020 (konsolidierte Textfassung, kein amtliches Inkrafttretensdatum)</w:t>
      </w:r>
    </w:p>
    <w:p>
      <w:r>
        <w:t xml:space="preserve">Ordnungswidrig im Sinne des § 32 Absatz 2 Nummer 4 Buchstabe a des Tiergesundheitsgesetzes handelt, wer vorsätzlich oder fahrlässig</w:t>
      </w:r>
    </w:p>
    <w:p>
      <w:pPr>
        <w:ind w:left="420"/>
      </w:pPr>
      <w:r>
        <w:t xml:space="preserve">1. entgegen § 2 Satz 1 eine Impfung oder einen Heilversuch vornimmt,</w:t>
      </w:r>
    </w:p>
    <w:p>
      <w:pPr>
        <w:ind w:left="420"/>
      </w:pPr>
      <w:r>
        <w:t xml:space="preserve">2. einer mit einer Genehmigung nach § 2 Satz 2, § 5 Absatz 2 Satz 1 oder Absatz 3 Satz 1 oder § 11 Absatz 2 verbundenen vollziehbaren Auflage zuwiderhandelt,</w:t>
      </w:r>
    </w:p>
    <w:p>
      <w:pPr>
        <w:ind w:left="420"/>
      </w:pPr>
      <w:r>
        <w:t xml:space="preserve">3. einer vollziehbaren Anordnung nach § 3, § 4 Absatz 1 Satz 2, § 5 Absatz 1 Nummer 1 oder Nummer 4, jeweils auch in Verbindung mit § 9 Absatz 2, nach § 6, § 8 Absatz 1 Satz 1 oder Absatz 3, § 9 Absatz 1 Satz 3, § 10 Absatz 10 oder § 11 Absatz 1 zuwiderhandelt,</w:t>
      </w:r>
    </w:p>
    <w:p>
      <w:pPr>
        <w:ind w:left="420"/>
      </w:pPr>
      <w:r>
        <w:t xml:space="preserve">3a. entgegen § 3a Absatz 1 Satz 1 ein dort genanntes Register nicht führt,</w:t>
      </w:r>
    </w:p>
    <w:p>
      <w:pPr>
        <w:ind w:left="420"/>
      </w:pPr>
      <w:r>
        <w:t xml:space="preserve">4. entgegen § 5 Absatz 1 Nummer 2, auch in Verbindung mit § 9 Absatz 2, Einhufer nicht, nicht richtig oder nicht rechtzeitig absondert oder versorgt,</w:t>
      </w:r>
    </w:p>
    <w:p>
      <w:pPr>
        <w:ind w:left="420"/>
      </w:pPr>
      <w:r>
        <w:t xml:space="preserve">5. entgegen § 5 Absatz 1 Nummer 3 eine Insektenbekämpfung nicht oder nicht rechtzeitig durchführt,</w:t>
      </w:r>
    </w:p>
    <w:p>
      <w:pPr>
        <w:ind w:left="420"/>
      </w:pPr>
      <w:r>
        <w:t xml:space="preserve">6. entgegen § 5 Absatz 2 Satz 1 oder Absatz 3 Satz 1, jeweils auch in Verbindung mit § 9 Absatz 2, oder § 10 Absatz 5 Satz 1 oder Absatz 6 Satz 1 Einhufer, Einhufersamen, -eizellen oder -embryonen ohne Genehmigung verbringt,</w:t>
      </w:r>
    </w:p>
    <w:p>
      <w:pPr>
        <w:ind w:left="420"/>
      </w:pPr>
      <w:r>
        <w:t xml:space="preserve">7. entgegen § 8 Absatz 2 ein Schild nicht, nicht richtig, nicht in der vorgeschriebenen Weise oder nicht rechtzeitig anbringt oder</w:t>
      </w:r>
    </w:p>
    <w:p>
      <w:pPr>
        <w:ind w:left="420"/>
      </w:pPr>
      <w:r>
        <w:t xml:space="preserve">8. entgegen § 10 Absatz 9 Satz 1 eine Ausstellung, einen Markt oder eine Veranstaltung ähnlicher Art mit Einhufern innerhalb des Sperrbezirks durchführt.</w:t>
      </w:r>
    </w:p>
    <w:p>
      <w:r>
        <w:rPr>
          <w:color w:val="555555"/>
          <w:sz w:val="17"/>
        </w:rPr>
        <w:t xml:space="preserve">Zitiervorschlag: § 13 BlutArmV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https://recht.nulegal.eu/gesetze/BlutArmV%202010/13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