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BlutArmV 2010 — Begriffsbestimmungen</w:t>
      </w:r>
    </w:p>
    <w:p>
      <w:r>
        <w:rPr>
          <w:color w:val="555555"/>
          <w:sz w:val="18"/>
        </w:rPr>
        <w:t xml:space="preserve">Einhufer-Blutarmut-Verordnung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Sinne dieser Verordnung liegen vor:</w:t>
      </w:r>
    </w:p>
    <w:p>
      <w:pPr>
        <w:ind w:left="420"/>
      </w:pPr>
      <w:r>
        <w:t xml:space="preserve">1. Ansteckende Blutarmut der Einhufer (Einhufer-Blutarmut), soweit diese durch serologische Untersuchung oder durch virologische Untersuchung (Genomnachweis des Erregers der Einhufer-Blutarmut) festgestellt ist;</w:t>
      </w:r>
    </w:p>
    <w:p>
      <w:pPr>
        <w:ind w:left="420"/>
      </w:pPr>
      <w:r>
        <w:t xml:space="preserve">2. Verdacht des Ausbruchs der Einhufer-Blutarmut, soweit das Ergebnis einer</w:t>
      </w:r>
    </w:p>
    <w:p>
      <w:pPr>
        <w:ind w:left="780"/>
      </w:pPr>
      <w:r>
        <w:t xml:space="preserve">a) serologischen oder klinischen Untersuchung oder</w:t>
      </w:r>
    </w:p>
    <w:p>
      <w:pPr>
        <w:ind w:left="780"/>
      </w:pPr>
      <w:r>
        <w:t xml:space="preserve">b) pathologisch-anatomischen Untersuchung</w:t>
      </w:r>
    </w:p>
    <w:p>
      <w:pPr>
        <w:ind w:left="420"/>
      </w:pPr>
      <w:r>
        <w:t xml:space="preserve">den Ausbruch der Einhufer-Blutarmut befürchten lässt;</w:t>
      </w:r>
    </w:p>
    <w:p>
      <w:pPr>
        <w:ind w:left="420"/>
      </w:pPr>
      <w:r>
        <w:t xml:space="preserve">3. Ansteckungsverdacht, soweit auf Grund epidemiologischer Nachforschungen eine Ansteckung mit der Einhufer-Blutarmut nicht ausgeschlossen werden kann.</w:t>
      </w:r>
    </w:p>
    <w:p>
      <w:r>
        <w:rPr>
          <w:color w:val="555555"/>
          <w:sz w:val="17"/>
        </w:rPr>
        <w:t xml:space="preserve">Zitiervorschlag: § 1 BlutArmV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https://recht.nulegal.eu/gesetze/BlutArmV%202010/1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BlutArmV 2010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