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BlindKennzV</w:t>
      </w:r>
    </w:p>
    <w:p>
      <w:r>
        <w:rPr>
          <w:color w:val="555555"/>
          <w:sz w:val="18"/>
        </w:rPr>
        <w:t xml:space="preserve">Blindenschrift-Kennzeichnungs-Verordnung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Abs. 1 Satz 1 Nr. 2 des Arzneimittelgesetzes in der Fassung der Bekanntmachung vom 12. Dezember 2005 (BGBl. I S. 3394) verordnet das Bundesministerium für Gesundheit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BlindKennzV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https://recht.nulegal.eu/gesetze/BlindKennzV/eingangsformel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