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BlindKennzV — Inkrafttreten</w:t>
      </w:r>
    </w:p>
    <w:p>
      <w:r>
        <w:rPr>
          <w:color w:val="555555"/>
          <w:sz w:val="18"/>
        </w:rPr>
        <w:t xml:space="preserve">Blindenschrift-Kennzeichnungs-Verordnung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1. September 2006 in Kraft.</w:t>
      </w:r>
    </w:p>
    <w:p>
      <w:r>
        <w:rPr>
          <w:color w:val="555555"/>
          <w:sz w:val="17"/>
        </w:rPr>
        <w:t xml:space="preserve">Zitiervorschlag: § 3 BlindKennzV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https://recht.nulegal.eu/gesetze/BlindKennzV/3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