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BlindKennzV — Kennzeichnung von Kleinstmengen</w:t>
      </w:r>
    </w:p>
    <w:p>
      <w:r>
        <w:rPr>
          <w:color w:val="555555"/>
          <w:sz w:val="18"/>
        </w:rPr>
        <w:t xml:space="preserve">Blindenschrift-Kennzeichnungs-Verordnung</w:t>
      </w:r>
    </w:p>
    <w:p>
      <w:r>
        <w:rPr>
          <w:color w:val="555555"/>
          <w:sz w:val="18"/>
        </w:rPr>
        <w:t xml:space="preserve">Stand: 10.06.2019 (konsolidierte Textfassung, kein amtliches Inkrafttretensdatum)</w:t>
      </w:r>
    </w:p>
    <w:p>
      <w:r>
        <w:t xml:space="preserve">Für die in § 1 genannten Arzneimittel müssen die nach § 10 Abs. 1b des Arzneimittelgesetzes vorgeschriebenen Angaben nicht angebracht werden, sofern bei einer Abgabe der Arzneimittel durch die Apotheke an blinde oder sehbehinderte Personen diese Angaben in Blindenschrift und normaler Schrift auf einem Klebeetikett auf der Packung angebracht werden oder, falls dies wegen des Umfangs der Bezeichnung nicht möglich ist, separat auf einem Informationsblatt übermittelt werden; es können geeignete Abkürzungen verwendet werden. Die Information in Blindenschrift nach Satz 1 ist vom pharmazeutischen Unternehmer bereitzustellen.</w:t>
      </w:r>
    </w:p>
    <w:p>
      <w:r>
        <w:rPr>
          <w:color w:val="555555"/>
          <w:sz w:val="17"/>
        </w:rPr>
        <w:t xml:space="preserve">Zitiervorschlag: § 2 BlindKennzV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https://recht.nulegal.eu/gesetze/BlindKennzV/2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